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169 vom 22. April 1993</w:t>
      </w:r>
    </w:p>
    <w:p>
      <w:r>
        <w:t>Bundesgericht (BGE), 1993-04-22, DE</w:t>
      </w:r>
    </w:p>
    <w:p>
      <w:r>
        <w:rPr>
          <w:b/>
        </w:rPr>
        <w:t xml:space="preserve">Quelle: </w:t>
      </w:r>
      <w:r>
        <w:t>https://mcp.opencaselaw.ch/entscheid/bge_120 IA 169</w:t>
      </w:r>
    </w:p>
    <w:p>
      <w:r>
        <w:t>FR: BGE 120 IA 169 du 22 avril 1993</w:t>
      </w:r>
    </w:p>
    <w:p>
      <w:r>
        <w:t>IT: BGE 120 IA 169 del 22 aprile 1993</w:t>
      </w:r>
    </w:p>
    <w:p>
      <w:pPr>
        <w:pStyle w:val="Heading2"/>
      </w:pPr>
      <w:r>
        <w:t>Regeste</w:t>
      </w:r>
    </w:p>
    <w:p>
      <w:r>
        <w:t>Regeste Art. 4 BV; Parteientschädigung im Zivilprozess. Es ist nicht willkürlich, einer Partei nicht die übliche Partei-, sondern lediglich eine Umtriebsentschädigung zuzusprechen, weil sie durch einen bei einer Rechtsschutzversicherung angestellten Rechtsanwalt vertreten wird (E. 3).</w:t>
      </w:r>
    </w:p>
    <w:p>
      <w:pPr>
        <w:pStyle w:val="Heading2"/>
      </w:pPr>
      <w:r>
        <w:t>Erwägungen</w:t>
      </w:r>
    </w:p>
    <w:p>
      <w:r>
        <w:rPr>
          <w:b/>
        </w:rPr>
        <w:t>E. 3</w:t>
      </w:r>
    </w:p>
    <w:p>
      <w:r>
        <w:t>a) Als weitere Gründe, welche die Ungleichbehandlung rechtfertigen, betrachtet das Obergericht die unterschiedlichen rechtlichen und wirtschaftlichen Verhältnisse, die je nach dem bestehen, ob die Partei durch einen freiberuflich tätigen oder einen bei einer Rechtsschutzversicherung angestellten Rechtsanwalt vertreten wird. Es sieht in diesem Zusammenhang den grundlegenden Unterschied zu Recht nicht in der Art der Tätigkeit und der Stellung des Vertreters im Prozess, sondern in der rechtlichen, organisatorischen und finanziellen Grundlage, auf welche sich die Tätigkeit abstützt. Diese ist - wie das Obergericht zutreffend hervorhebt - zur Hauptsache durch die unterschiedlichen Dienstleistungen bedingt, die von einem freiberuflich tätigen Rechtsanwalt einerseits und einer Rechtsschutzversicherung andererseits primär erbracht werden. Während im einen Fall die berufsmässige Parteivertretung vor Gericht im Vordergrund steht, geht es im anderen Fall in erster Linie um das Anbieten und Gewähren von Versicherungsschutz, wie es bei allen Arten des Versicherungsgeschäfts üblich ist. Damit hängen auch die unterschiedlichen rechtlichen Regelungen und die damit verbundenen Einschränkungen der Berufstätigkeit zusammen, auf welche das Obergericht ebenfalls hinweist (Unabhängigkeit, Reklameverbot, Schweigepflicht: §§ 10, 13 und 15 Advokaturgesetz). Die Vertreterin der Beschwerdeführerin behauptet zwar, sie sei in gleicher Weise wie ein freiberuflich tätiger Advokat an diese Standespflichten gebunden und auch in der Lage, sie einzuhalten. Das mag im wesentlichen zutreffen, ändert aber nichts daran, dass sie in die betriebliche Organisation der Versicherungsunternehmung eingebunden ist, die selbst solchen Standespflichten nicht unterworfen ist. So profitiert die Vertreterin der Beschwerdeführerin zum Beispiel mittelbar von deren Möglichkeit, BGE 120 Ia 169 S. 171 uneingeschränkt für die angebotenen Dienstleistungen zu werben. Zudem ist davon auszugehen, dass sie die Infrastruktur der Versicherungsgesellschaft benutzen kann und für ihre Arbeit angemessen entschädigt wird. Die Gesellschaft ihrerseits erhält für ihre Leistungen die Prämien der Versicherungsnehmer, aus denen sie auch ihre Betriebskosten finanziert. Auf solche Verhältnisse ist die kantonale Tarifordnung indessen nicht zugeschnitten. Wie insbesondere aus deren § 1 hervorgeht, liegt der damit vorgeschriebenen Honorarbemessung vielmehr der Fall der freiberuflichen Advokaten zugrunde. Für diese stellt das vom Gericht festgesetzte Honorar aber im allgemeinen die einzige Entschädigung für die Tätigkeit als Prozessvertreter dar. Berücksichtigt wird damit neben den im allgemeinen höheren Infrastrukturkosten auch der Umstand, dass die freiberuflichen Anwälte in der Regel Mandate von unterschiedlicher finanzieller Bedeutung ausführen.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